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tl w:val="0"/>
        </w:rPr>
        <w:t xml:space="preserve">Cristina Tajani è Senatrice della Repubblica per la XIX legislatura. </w:t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  <w:t xml:space="preserve">Capogruppo PD nella Commissione Finanze è Tesoro.</w:t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  <w:t xml:space="preserve">Professoressa a contratto di politiche urbane presso il Politecnico di Milano.</w:t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tl w:val="0"/>
        </w:rPr>
        <w:t xml:space="preserve">Dal 2022 al 2023 Presidente di ANPAL servizi spa, società in house al Ministero del Lavoro e ANPAL. </w:t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rtl w:val="0"/>
        </w:rPr>
        <w:t xml:space="preserve">Dal 2011 al 2021 è stata Assessora alle Politiche del Lavoro, Attività Produttive, Commercio e Risorse Umane del Comune di Milano nelle Giunte guidata dai Sindaci Giuliano Pisapia e Beppe Sala.</w:t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rPr>
          <w:rtl w:val="0"/>
        </w:rPr>
        <w:t xml:space="preserve">Laureata in Discipline Economiche e Sociali presso l’Università Commerciale “L. Bocconi” ha poi conseguito il dottorato di ricerca in Scienze del Lavoro presso l’Università Statale di Milano.</w:t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rPr>
          <w:rtl w:val="0"/>
        </w:rPr>
        <w:t xml:space="preserve">Ha svolto attività di ricerca e docenza presso diverse Università, centri di ricerca (Università di Milano, Università Bicocca, Istituto di Ricerca Sociale, IRS) e presso l’Ufficio Studi della Camera del Lavoro Metropolitana di Milano.</w:t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rPr>
          <w:rtl w:val="0"/>
        </w:rPr>
        <w:t xml:space="preserve">Autrice di diverse pubblicazioni a carattere scientifico e divulgativo, nel 2021 ha pubblicato per Guerini “Città Prossime. Dal quartiere al mondo, Milano e le metropoli globali”.</w:t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it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Hzfjxf9Ab2Jl9d0mMwYvMjwNyJg==">CgMxLjA4AHIhMTV0QzdjRVZtaTNuM0hqcHJIVWdqejdTTDgtUkUzM1po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