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D558C6" w14:textId="77777777" w:rsidR="000D60B2" w:rsidRPr="000D60B2" w:rsidRDefault="000D60B2" w:rsidP="000D60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0D60B2">
        <w:rPr>
          <w:rFonts w:ascii="Calibri" w:eastAsia="Times New Roman" w:hAnsi="Calibri" w:cs="Calibri"/>
          <w:color w:val="1F497D"/>
          <w:lang w:eastAsia="it-IT"/>
        </w:rPr>
        <w:t xml:space="preserve">Naturalista, esperto in pianificazione e gestione delle Aree Protette, si occupa di ecologia applicata a supporto di processi di pianificazione territoriale, di studi inerenti </w:t>
      </w:r>
      <w:proofErr w:type="gramStart"/>
      <w:r w:rsidRPr="000D60B2">
        <w:rPr>
          <w:rFonts w:ascii="Calibri" w:eastAsia="Times New Roman" w:hAnsi="Calibri" w:cs="Calibri"/>
          <w:color w:val="1F497D"/>
          <w:lang w:eastAsia="it-IT"/>
        </w:rPr>
        <w:t>la</w:t>
      </w:r>
      <w:proofErr w:type="gramEnd"/>
      <w:r w:rsidRPr="000D60B2">
        <w:rPr>
          <w:rFonts w:ascii="Calibri" w:eastAsia="Times New Roman" w:hAnsi="Calibri" w:cs="Calibri"/>
          <w:color w:val="1F497D"/>
          <w:lang w:eastAsia="it-IT"/>
        </w:rPr>
        <w:t xml:space="preserve"> tutela della biodiversità e dei sistemi naturali, di gestione sostenibile delle risorse idriche, di turismo sostenibile nei Parchi e in aree a elevata qualità ambientale. Su questi temi ha partecipato a numerosi progetti internazionali ed è autore di pubblicazioni tecniche e scientifiche.</w:t>
      </w:r>
    </w:p>
    <w:p w14:paraId="38BB943F" w14:textId="77777777" w:rsidR="000D60B2" w:rsidRPr="000D60B2" w:rsidRDefault="000D60B2" w:rsidP="000D60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0D60B2">
        <w:rPr>
          <w:rFonts w:ascii="Calibri" w:eastAsia="Times New Roman" w:hAnsi="Calibri" w:cs="Calibri"/>
          <w:color w:val="1F497D"/>
          <w:lang w:eastAsia="it-IT"/>
        </w:rPr>
        <w:t>Attualmente collabora prevalentemente con la </w:t>
      </w:r>
      <w:r w:rsidRPr="000D60B2">
        <w:rPr>
          <w:rFonts w:ascii="Calibri" w:eastAsia="Times New Roman" w:hAnsi="Calibri" w:cs="Calibri"/>
          <w:b/>
          <w:bCs/>
          <w:color w:val="1F497D"/>
          <w:lang w:eastAsia="it-IT"/>
        </w:rPr>
        <w:t>Fondazione per lo Sviluppo Sostenibile</w:t>
      </w:r>
      <w:r w:rsidRPr="000D60B2">
        <w:rPr>
          <w:rFonts w:ascii="Calibri" w:eastAsia="Times New Roman" w:hAnsi="Calibri" w:cs="Calibri"/>
          <w:color w:val="1F497D"/>
          <w:lang w:eastAsia="it-IT"/>
        </w:rPr>
        <w:t>, in qualità di coordinatore dell’area </w:t>
      </w:r>
      <w:r w:rsidRPr="000D60B2">
        <w:rPr>
          <w:rFonts w:ascii="Calibri" w:eastAsia="Times New Roman" w:hAnsi="Calibri" w:cs="Calibri"/>
          <w:i/>
          <w:iCs/>
          <w:color w:val="1F497D"/>
          <w:lang w:eastAsia="it-IT"/>
        </w:rPr>
        <w:t>Capitale Naturale, Infrastrutture Verdi, Agricoltura</w:t>
      </w:r>
      <w:r w:rsidRPr="000D60B2">
        <w:rPr>
          <w:rFonts w:ascii="Calibri" w:eastAsia="Times New Roman" w:hAnsi="Calibri" w:cs="Calibri"/>
          <w:color w:val="1F497D"/>
          <w:lang w:eastAsia="it-IT"/>
        </w:rPr>
        <w:t>. Per la Fondazione è responsabile delle attività finalizzate al miglioramento della qualità ecologica dei territori, alla valorizzazione del Capitale Naturale da parte delle imprese, alla diffusione di modelli di produzione a basso impatto ambientale nella filiera agroalimentare</w:t>
      </w:r>
    </w:p>
    <w:p w14:paraId="058B1168" w14:textId="77777777" w:rsidR="00F55C44" w:rsidRDefault="000D60B2"/>
    <w:sectPr w:rsidR="00F55C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B2"/>
    <w:rsid w:val="000D60B2"/>
    <w:rsid w:val="002211D9"/>
    <w:rsid w:val="002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62E08"/>
  <w15:chartTrackingRefBased/>
  <w15:docId w15:val="{F0F7C531-5AB4-4452-B67F-D72B9CEAD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88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2021-01-25T21:10:00Z</dcterms:created>
  <dcterms:modified xsi:type="dcterms:W3CDTF">2021-01-25T21:11:00Z</dcterms:modified>
</cp:coreProperties>
</file>