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939A6B" w14:textId="77777777" w:rsidR="003A0A4E" w:rsidRDefault="003A0A4E" w:rsidP="003A0A4E">
      <w:pPr>
        <w:widowControl w:val="0"/>
        <w:autoSpaceDE w:val="0"/>
        <w:autoSpaceDN w:val="0"/>
        <w:adjustRightInd w:val="0"/>
        <w:rPr>
          <w:rFonts w:ascii="Times" w:hAnsi="Times" w:cs="Times"/>
          <w:b/>
          <w:bCs/>
          <w:sz w:val="48"/>
          <w:szCs w:val="48"/>
        </w:rPr>
      </w:pPr>
      <w:r>
        <w:rPr>
          <w:rFonts w:ascii="Times" w:hAnsi="Times" w:cs="Times New Roman"/>
        </w:rPr>
        <w:fldChar w:fldCharType="begin"/>
      </w:r>
      <w:r>
        <w:rPr>
          <w:rFonts w:ascii="Times" w:hAnsi="Times" w:cs="Times New Roman"/>
        </w:rPr>
        <w:instrText>HYPERLINK "http://www.strumentires.com/index.php?option=com_content&amp;view=article&amp;id=156:il-punto-sullo-stretto&amp;catid=4:economia-siciliana&amp;Itemid=12"</w:instrText>
      </w:r>
      <w:r>
        <w:rPr>
          <w:rFonts w:ascii="Times" w:hAnsi="Times" w:cs="Times New Roman"/>
        </w:rPr>
        <w:fldChar w:fldCharType="separate"/>
      </w:r>
      <w:r>
        <w:rPr>
          <w:rFonts w:ascii="Times" w:hAnsi="Times" w:cs="Times"/>
          <w:b/>
          <w:bCs/>
          <w:color w:val="420178"/>
          <w:sz w:val="48"/>
          <w:szCs w:val="48"/>
          <w:u w:val="single" w:color="420178"/>
        </w:rPr>
        <w:t>Il punto sullo Stretto</w:t>
      </w:r>
      <w:r>
        <w:rPr>
          <w:rFonts w:ascii="Times" w:hAnsi="Times" w:cs="Times New Roman"/>
        </w:rPr>
        <w:fldChar w:fldCharType="end"/>
      </w:r>
    </w:p>
    <w:p w14:paraId="7997CECA" w14:textId="77777777" w:rsidR="003A0A4E" w:rsidRDefault="003A0A4E" w:rsidP="003A0A4E">
      <w:pPr>
        <w:widowControl w:val="0"/>
        <w:autoSpaceDE w:val="0"/>
        <w:autoSpaceDN w:val="0"/>
        <w:adjustRightInd w:val="0"/>
        <w:rPr>
          <w:rFonts w:ascii="Times" w:hAnsi="Times" w:cs="Times"/>
          <w:sz w:val="32"/>
          <w:szCs w:val="32"/>
        </w:rPr>
      </w:pPr>
      <w:r>
        <w:rPr>
          <w:rFonts w:ascii="Times" w:hAnsi="Times" w:cs="Times"/>
          <w:sz w:val="32"/>
          <w:szCs w:val="32"/>
        </w:rPr>
        <w:t xml:space="preserve">Leandra D’Antone | </w:t>
      </w:r>
      <w:r>
        <w:rPr>
          <w:rFonts w:ascii="Times" w:hAnsi="Times" w:cs="Times"/>
          <w:noProof/>
          <w:color w:val="0000E9"/>
          <w:sz w:val="32"/>
          <w:szCs w:val="32"/>
        </w:rPr>
        <w:drawing>
          <wp:inline distT="0" distB="0" distL="0" distR="0" wp14:anchorId="726552E1" wp14:editId="34297EDF">
            <wp:extent cx="180975" cy="18097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bl>
      <w:tblPr>
        <w:tblW w:w="0" w:type="auto"/>
        <w:tblBorders>
          <w:top w:val="nil"/>
          <w:left w:val="nil"/>
          <w:right w:val="nil"/>
        </w:tblBorders>
        <w:tblLayout w:type="fixed"/>
        <w:tblLook w:val="0000" w:firstRow="0" w:lastRow="0" w:firstColumn="0" w:lastColumn="0" w:noHBand="0" w:noVBand="0"/>
      </w:tblPr>
      <w:tblGrid>
        <w:gridCol w:w="2460"/>
      </w:tblGrid>
      <w:tr w:rsidR="003A0A4E" w14:paraId="2024407D" w14:textId="77777777">
        <w:tc>
          <w:tcPr>
            <w:tcW w:w="2460" w:type="dxa"/>
            <w:tcMar>
              <w:top w:w="20" w:type="nil"/>
              <w:left w:w="20" w:type="nil"/>
              <w:bottom w:w="20" w:type="nil"/>
              <w:right w:w="20" w:type="nil"/>
            </w:tcMar>
            <w:vAlign w:val="center"/>
          </w:tcPr>
          <w:p w14:paraId="4FE50601" w14:textId="77777777" w:rsidR="003A0A4E" w:rsidRDefault="00CB28F5">
            <w:pPr>
              <w:widowControl w:val="0"/>
              <w:autoSpaceDE w:val="0"/>
              <w:autoSpaceDN w:val="0"/>
              <w:adjustRightInd w:val="0"/>
              <w:rPr>
                <w:rFonts w:ascii="Times" w:hAnsi="Times" w:cs="Times"/>
                <w:sz w:val="32"/>
                <w:szCs w:val="32"/>
              </w:rPr>
            </w:pPr>
            <w:hyperlink r:id="rId5" w:history="1">
              <w:r w:rsidR="003A0A4E">
                <w:rPr>
                  <w:rFonts w:ascii="Times" w:hAnsi="Times" w:cs="Times"/>
                  <w:color w:val="0000E9"/>
                  <w:sz w:val="32"/>
                  <w:szCs w:val="32"/>
                  <w:u w:val="single" w:color="0000E9"/>
                </w:rPr>
                <w:t>Economia siciliana</w:t>
              </w:r>
            </w:hyperlink>
          </w:p>
        </w:tc>
      </w:tr>
    </w:tbl>
    <w:p w14:paraId="29CAB302" w14:textId="77777777" w:rsidR="003A0A4E" w:rsidRDefault="003A0A4E" w:rsidP="003A0A4E">
      <w:pPr>
        <w:widowControl w:val="0"/>
        <w:autoSpaceDE w:val="0"/>
        <w:autoSpaceDN w:val="0"/>
        <w:adjustRightInd w:val="0"/>
        <w:rPr>
          <w:rFonts w:ascii="Times" w:hAnsi="Times" w:cs="Times"/>
          <w:sz w:val="32"/>
          <w:szCs w:val="32"/>
        </w:rPr>
      </w:pPr>
    </w:p>
    <w:p w14:paraId="60422506" w14:textId="77777777" w:rsidR="003A0A4E" w:rsidRDefault="003A0A4E" w:rsidP="003A0A4E">
      <w:pPr>
        <w:widowControl w:val="0"/>
        <w:autoSpaceDE w:val="0"/>
        <w:autoSpaceDN w:val="0"/>
        <w:adjustRightInd w:val="0"/>
        <w:jc w:val="both"/>
        <w:rPr>
          <w:rFonts w:ascii="Times" w:hAnsi="Times" w:cs="Times"/>
          <w:sz w:val="32"/>
          <w:szCs w:val="32"/>
        </w:rPr>
      </w:pPr>
      <w:r>
        <w:rPr>
          <w:rFonts w:ascii="Times" w:hAnsi="Times" w:cs="Times"/>
          <w:i/>
          <w:iCs/>
          <w:sz w:val="32"/>
          <w:szCs w:val="32"/>
        </w:rPr>
        <w:t>Si ricostruisce la storia del ponte di Messina, più volte annunciato e cancellato dall’agenda governativa. La sua fattibilità ha come punti di forza rigorosi studi e recenti verifiche ingegneristiche. La sua realizzazione è contraddetta dalla riduzione di spesa ordinaria nelle reti ferroviarie...</w:t>
      </w:r>
    </w:p>
    <w:p w14:paraId="64933417" w14:textId="77777777" w:rsidR="003A0A4E" w:rsidRDefault="003A0A4E" w:rsidP="003A0A4E">
      <w:pPr>
        <w:widowControl w:val="0"/>
        <w:autoSpaceDE w:val="0"/>
        <w:autoSpaceDN w:val="0"/>
        <w:adjustRightInd w:val="0"/>
        <w:jc w:val="both"/>
        <w:rPr>
          <w:rFonts w:ascii="Times" w:hAnsi="Times" w:cs="Times"/>
          <w:sz w:val="32"/>
          <w:szCs w:val="32"/>
        </w:rPr>
      </w:pPr>
      <w:r>
        <w:rPr>
          <w:rFonts w:ascii="Times" w:hAnsi="Times" w:cs="Times"/>
          <w:noProof/>
          <w:sz w:val="32"/>
          <w:szCs w:val="32"/>
        </w:rPr>
        <w:drawing>
          <wp:inline distT="0" distB="0" distL="0" distR="0" wp14:anchorId="36F4F1AD" wp14:editId="6DE84A51">
            <wp:extent cx="765810" cy="76581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5810" cy="765810"/>
                    </a:xfrm>
                    <a:prstGeom prst="rect">
                      <a:avLst/>
                    </a:prstGeom>
                    <a:noFill/>
                    <a:ln>
                      <a:noFill/>
                    </a:ln>
                  </pic:spPr>
                </pic:pic>
              </a:graphicData>
            </a:graphic>
          </wp:inline>
        </w:drawing>
      </w:r>
    </w:p>
    <w:p w14:paraId="7E42392F" w14:textId="77777777" w:rsidR="003A0A4E" w:rsidRDefault="003A0A4E" w:rsidP="003A0A4E">
      <w:pPr>
        <w:widowControl w:val="0"/>
        <w:autoSpaceDE w:val="0"/>
        <w:autoSpaceDN w:val="0"/>
        <w:adjustRightInd w:val="0"/>
        <w:rPr>
          <w:rFonts w:ascii="Times" w:hAnsi="Times" w:cs="Times"/>
          <w:sz w:val="32"/>
          <w:szCs w:val="32"/>
        </w:rPr>
      </w:pPr>
      <w:r>
        <w:rPr>
          <w:rFonts w:ascii="Times" w:hAnsi="Times" w:cs="Times"/>
          <w:sz w:val="32"/>
          <w:szCs w:val="32"/>
        </w:rPr>
        <w:t xml:space="preserve">I grandi ponti in tutto il mondo sono considerati ovviamente tratti di strada e talora anche di ferrovia che uniscono territori, popolazioni, nazioni, divisi dalla natura. Con tecnologie sempre più innovative nella lavorazione dell’acciaio, negli ultimi quindici anni sono stati costruiti molti nuovi grandi ponti in Cina, Turchia, Giappone, Danimarca, tutti con campata principale o unica campata superiore ai mille metri, fin quasi duemila. Un chilometro e 991 metri è la misura della campata sospesa più lunga finora costruita al mondo ed appartiene al Ponte di Akashi, che dal 1998 collega la città di Kobe all’isola </w:t>
      </w:r>
      <w:proofErr w:type="spellStart"/>
      <w:r>
        <w:rPr>
          <w:rFonts w:ascii="Times" w:hAnsi="Times" w:cs="Times"/>
          <w:sz w:val="32"/>
          <w:szCs w:val="32"/>
        </w:rPr>
        <w:t>Awaij</w:t>
      </w:r>
      <w:proofErr w:type="spellEnd"/>
      <w:r>
        <w:rPr>
          <w:rFonts w:ascii="Times" w:hAnsi="Times" w:cs="Times"/>
          <w:sz w:val="32"/>
          <w:szCs w:val="32"/>
        </w:rPr>
        <w:t xml:space="preserve"> in un’area fortemente sismica come quella dell’arcipelago giapponese.</w:t>
      </w:r>
    </w:p>
    <w:p w14:paraId="4D98B051" w14:textId="77777777" w:rsidR="003A0A4E" w:rsidRDefault="003A0A4E" w:rsidP="003A0A4E">
      <w:pPr>
        <w:widowControl w:val="0"/>
        <w:autoSpaceDE w:val="0"/>
        <w:autoSpaceDN w:val="0"/>
        <w:adjustRightInd w:val="0"/>
        <w:rPr>
          <w:rFonts w:ascii="Times" w:hAnsi="Times" w:cs="Times"/>
          <w:sz w:val="32"/>
          <w:szCs w:val="32"/>
        </w:rPr>
      </w:pPr>
      <w:r>
        <w:rPr>
          <w:rFonts w:ascii="Times" w:hAnsi="Times" w:cs="Times"/>
          <w:sz w:val="32"/>
          <w:szCs w:val="32"/>
        </w:rPr>
        <w:t xml:space="preserve">In Italia un grande ponte – figuriamoci poi se il Ponte a campata unica più lungo del mondo con la luce mai finora raggiunta di 3300 metri riguarda il Sud! – non è considerato, come sarebbe normale, un possibile tratto di strada e di ferrovia, ma è diventato una vera e propria ossessione: di politici preoccupati della sua carica simbolica e, solo per interessi contingenti, incoerentemente simpatizzanti o, soprattutto, radicalmente ostili; di economisti artefici e vittime della valutazione costi-benefici come unico criterio delle decisioni pubbliche di spesa; di un ambientalismo estremo capace di vedere come minaccioso per l’ecosistema marino un ponte sospeso che non tocca il mare, mentre lo stesso mare stretto 3,200 km tra coste devastate dall’abusivismo è attraversato giorno e notte dal traffico internazionale di navi giganti provenienti dal confini est e ovest del mondo e dirette a Gioia Tauro, e inoltre dall’intensissimo traffico dei traghetti. E’ </w:t>
      </w:r>
      <w:r>
        <w:rPr>
          <w:rFonts w:ascii="Times" w:hAnsi="Times" w:cs="Times"/>
          <w:sz w:val="32"/>
          <w:szCs w:val="32"/>
        </w:rPr>
        <w:lastRenderedPageBreak/>
        <w:t>diventato, ancor peggio, il giocattolo dei molti militanti del movimento trasversale dello “spendere sì, ma non al Sud”, dove qualunque investimento al Sud diventerebbe mafia, corruzione e spreco.</w:t>
      </w:r>
    </w:p>
    <w:p w14:paraId="75B0F128" w14:textId="77777777" w:rsidR="003A0A4E" w:rsidRDefault="003A0A4E" w:rsidP="003A0A4E">
      <w:pPr>
        <w:widowControl w:val="0"/>
        <w:autoSpaceDE w:val="0"/>
        <w:autoSpaceDN w:val="0"/>
        <w:adjustRightInd w:val="0"/>
        <w:rPr>
          <w:rFonts w:ascii="Times" w:hAnsi="Times" w:cs="Times"/>
          <w:sz w:val="32"/>
          <w:szCs w:val="32"/>
        </w:rPr>
      </w:pPr>
      <w:r>
        <w:rPr>
          <w:rFonts w:ascii="Times" w:hAnsi="Times" w:cs="Times"/>
          <w:sz w:val="32"/>
          <w:szCs w:val="32"/>
        </w:rPr>
        <w:t>Il tono e le argomentazioni messe in campo nel dibattito pubblico sono riusciti a comprimere la giusta e opportuna esigenza di informazione su quanto finora verificato circa l’utilità e la fattibilità tecnica dell’opera, sul suo effettivo impatto sull’ambiente, sull’economia e sulla criminalità, sulla capacità della politica e dell’amministrazione pubblica di accompagnare alla conclusione un investimento così innovativo e bisognoso di trasparenza ed efficienza. Per cui, persino adesso, dopo il recente annuncio da parte del governo in carica dell’inizio dei lavori di deviazione della ferrovia Battipaglia-Reggio Calabria, sono in pochi a credere (o pur dichiarando di crederci, a sperare) che il Ponte sarà davvero realizzato. Urge dunque fare riaffiorare dati e fatti, a partire da quelli storici.</w:t>
      </w:r>
    </w:p>
    <w:p w14:paraId="202094A7" w14:textId="77777777" w:rsidR="003A0A4E" w:rsidRDefault="003A0A4E" w:rsidP="003A0A4E">
      <w:pPr>
        <w:widowControl w:val="0"/>
        <w:autoSpaceDE w:val="0"/>
        <w:autoSpaceDN w:val="0"/>
        <w:adjustRightInd w:val="0"/>
        <w:rPr>
          <w:rFonts w:ascii="Times" w:hAnsi="Times" w:cs="Times"/>
          <w:sz w:val="32"/>
          <w:szCs w:val="32"/>
        </w:rPr>
      </w:pPr>
      <w:r>
        <w:rPr>
          <w:rFonts w:ascii="Times" w:hAnsi="Times" w:cs="Times"/>
          <w:sz w:val="32"/>
          <w:szCs w:val="32"/>
        </w:rPr>
        <w:t>La storia del Ponte sullo Stretto non è infinita e quindi non è leggenda, ma ha un inizio e uno svolgimento significativi del modo in cui nell’Italia repubblicana sono state considerate nel tempo le grandi opere pubbliche e in particolare quelle ricadenti nel Sud d’Italia. Questa storia si può raccontare con senso della realtà solo a partire dagli anni cinquanta del novecento, dopo la consolidata esperienza di costruzione di grandi ponti in America (la destra liberale ottocentesca aveva immediatamente pensato alla realizzazione di un ponte ferroviario sin dal momento del concepimento della rete italiana, ma dovette accantonare l’idea per insormontabili difficoltà tecniche).</w:t>
      </w:r>
    </w:p>
    <w:p w14:paraId="1CF38DBB" w14:textId="77777777" w:rsidR="003A0A4E" w:rsidRDefault="003A0A4E" w:rsidP="003A0A4E">
      <w:pPr>
        <w:widowControl w:val="0"/>
        <w:autoSpaceDE w:val="0"/>
        <w:autoSpaceDN w:val="0"/>
        <w:adjustRightInd w:val="0"/>
        <w:rPr>
          <w:rFonts w:ascii="Times" w:hAnsi="Times" w:cs="Times"/>
          <w:sz w:val="32"/>
          <w:szCs w:val="32"/>
        </w:rPr>
      </w:pPr>
      <w:r>
        <w:rPr>
          <w:rFonts w:ascii="Times" w:hAnsi="Times" w:cs="Times"/>
          <w:sz w:val="32"/>
          <w:szCs w:val="32"/>
        </w:rPr>
        <w:t xml:space="preserve">Negli anni cinquanta-sessanta, di crescita travolgente delle esportazioni di merci dalla Sicilia e di colossali flussi migratori dalla campagna alle città e soprattutto verso il Nord, si impose all’attenzione pubblica l’esigenza di adeguamento del sistema dei trasporti, e l’attraversamento dello Stretto con navi traghetto cominciò a presentarsi come una strozzatura rispetto alla domanda. In questo dinamico scenario si manifestò per la prima volta un grande e condiviso interesse per lo studio e la realizzazione di un collegamento stabile, per il quale si mobilitarono la Regione Sicilia, la Regione Calabria con le Camere di commercio e i Comuni direttamente interessati, l’Anas e le Ferrovie dello Stato, le più qualificate imprese costruttrici americane, le più grandi imprese italiane. Nel 1955 </w:t>
      </w:r>
      <w:proofErr w:type="spellStart"/>
      <w:r>
        <w:rPr>
          <w:rFonts w:ascii="Times" w:hAnsi="Times" w:cs="Times"/>
          <w:sz w:val="32"/>
          <w:szCs w:val="32"/>
        </w:rPr>
        <w:t>Finsider</w:t>
      </w:r>
      <w:proofErr w:type="spellEnd"/>
      <w:r>
        <w:rPr>
          <w:rFonts w:ascii="Times" w:hAnsi="Times" w:cs="Times"/>
          <w:sz w:val="32"/>
          <w:szCs w:val="32"/>
        </w:rPr>
        <w:t xml:space="preserve">, Fiat, Italcementi, Pirelli, </w:t>
      </w:r>
      <w:proofErr w:type="spellStart"/>
      <w:r>
        <w:rPr>
          <w:rFonts w:ascii="Times" w:hAnsi="Times" w:cs="Times"/>
          <w:sz w:val="32"/>
          <w:szCs w:val="32"/>
        </w:rPr>
        <w:t>Italstrade</w:t>
      </w:r>
      <w:proofErr w:type="spellEnd"/>
      <w:r>
        <w:rPr>
          <w:rFonts w:ascii="Times" w:hAnsi="Times" w:cs="Times"/>
          <w:sz w:val="32"/>
          <w:szCs w:val="32"/>
        </w:rPr>
        <w:t xml:space="preserve">, insieme ad altre grandi imprese pubbliche e private italiane, costituirono la società Gruppo Ponte di Messina e avviarono </w:t>
      </w:r>
      <w:r>
        <w:rPr>
          <w:rFonts w:ascii="Times" w:hAnsi="Times" w:cs="Times"/>
          <w:sz w:val="32"/>
          <w:szCs w:val="32"/>
        </w:rPr>
        <w:lastRenderedPageBreak/>
        <w:t>a proprie spese approfondite ricerche ingegneristiche e ambientali per la realizzazione di un collegamento stabile, coinvolgendovi i migliori studiosi del mondo e mettendo a confronto diverse modalità: il ponte sospeso a più campate o a campata unica, il tunnel sottomarino, il tubo flottante. La Comunità europea incoraggiò allora lo studio dell’opera, dichiarandola nel 1961 di interesse nazionale e mettendo a disposizione il contributo della Banca europea degli investimenti. Per favorire e accelerare le ricerche l’Anas e Ferrovie dello Stato nel 1969 bandirono una gara internazionale cui parteciparono 143 progettisti, permettendo di segnalare le soluzioni tecniche migliori per le tre modalità di attraversamento. Il collegamento stabile fu dichiarato per legge del 1971 opera di prevalente interesse nazionale e con la stessa legge venne indicata come concessionaria una società di cui l’Iri doveva detenere il 51% delle azioni.</w:t>
      </w:r>
    </w:p>
    <w:p w14:paraId="46910837" w14:textId="77777777" w:rsidR="003A0A4E" w:rsidRDefault="003A0A4E" w:rsidP="003A0A4E">
      <w:pPr>
        <w:widowControl w:val="0"/>
        <w:autoSpaceDE w:val="0"/>
        <w:autoSpaceDN w:val="0"/>
        <w:adjustRightInd w:val="0"/>
        <w:rPr>
          <w:rFonts w:ascii="Times" w:hAnsi="Times" w:cs="Times"/>
          <w:sz w:val="32"/>
          <w:szCs w:val="32"/>
        </w:rPr>
      </w:pPr>
      <w:r>
        <w:rPr>
          <w:rFonts w:ascii="Times" w:hAnsi="Times" w:cs="Times"/>
          <w:sz w:val="32"/>
          <w:szCs w:val="32"/>
        </w:rPr>
        <w:t>In attesa dei risultati degli studi - quelli del Gruppo Ponte di Messina si sarebbero tradotti in un primo Rapporto di fattibilità nel 1981- negli anni settanta si raffreddarono gli entusiasmi iniziali e mutarono gli interessi. La spesa pubblica nel Sud deviò dall’iniziale potenziamento delle infrastrutture verso incentivi diretti all’industrializzazione e verso la leva della spesa corrente; gli stessi soggetti istituzionali e imprenditoriali inizialmente interessati all’investimento ne abbandonarono di fatto, se non in principio, la promozione. Compreso l’Iri, che ne doveva costituire il motore primo, in più circostanze dimostrò, nonostante il meridionalismo dichiarato, di non essere interessato a investimenti in infrastrutture di trasporto nelle regioni del Sud perché considerati poco redditizi: dall’autostrada Salerno-Reggio Calabria, allo stesso Ponte sullo Stretto. Le valutazioni di previsione del traffico costruite dall’Iri in base ai dati del momento, non permisero di vedere la rivoluzione della mobilità già in atto, e fu perduta, con l’autostrada del Sud, l’occasione di innovare in modo omogeneo l’intero sistema stradale nazionale. </w:t>
      </w:r>
    </w:p>
    <w:p w14:paraId="44F4F22F" w14:textId="77777777" w:rsidR="003A0A4E" w:rsidRDefault="003A0A4E" w:rsidP="003A0A4E">
      <w:pPr>
        <w:widowControl w:val="0"/>
        <w:autoSpaceDE w:val="0"/>
        <w:autoSpaceDN w:val="0"/>
        <w:adjustRightInd w:val="0"/>
        <w:rPr>
          <w:rFonts w:ascii="Times" w:hAnsi="Times" w:cs="Times"/>
          <w:sz w:val="32"/>
          <w:szCs w:val="32"/>
        </w:rPr>
      </w:pPr>
      <w:r>
        <w:rPr>
          <w:rFonts w:ascii="Times" w:hAnsi="Times" w:cs="Times"/>
          <w:sz w:val="32"/>
          <w:szCs w:val="32"/>
        </w:rPr>
        <w:t xml:space="preserve">Nel nuovo scenario, la Società Stretto di Messina si costituì nel 1981 a ben dieci anni dalla legge istitutiva, con la partecipazione di maggioranza di </w:t>
      </w:r>
      <w:proofErr w:type="spellStart"/>
      <w:r>
        <w:rPr>
          <w:rFonts w:ascii="Times" w:hAnsi="Times" w:cs="Times"/>
          <w:sz w:val="32"/>
          <w:szCs w:val="32"/>
        </w:rPr>
        <w:t>Iritecna</w:t>
      </w:r>
      <w:proofErr w:type="spellEnd"/>
      <w:r>
        <w:rPr>
          <w:rFonts w:ascii="Times" w:hAnsi="Times" w:cs="Times"/>
          <w:sz w:val="32"/>
          <w:szCs w:val="32"/>
        </w:rPr>
        <w:t xml:space="preserve"> e partecipazioni paritarie di Regione Sicilia, Regione Calabria, Anas e Ferrovie dello Stato. Il Gruppo Ponte di Messina, a conclusione delle sue ricerche, convogliò i suoi studi e il suo management nella nuova Società. Ma, quando nel 1992 il progetto di massima fu presentato, l’Iri stesso dichiarò  il Ponte opera non prioritaria.</w:t>
      </w:r>
    </w:p>
    <w:p w14:paraId="03FBC481" w14:textId="77777777" w:rsidR="003A0A4E" w:rsidRDefault="003A0A4E" w:rsidP="003A0A4E">
      <w:pPr>
        <w:widowControl w:val="0"/>
        <w:autoSpaceDE w:val="0"/>
        <w:autoSpaceDN w:val="0"/>
        <w:adjustRightInd w:val="0"/>
        <w:rPr>
          <w:rFonts w:ascii="Times" w:hAnsi="Times" w:cs="Times"/>
          <w:sz w:val="32"/>
          <w:szCs w:val="32"/>
        </w:rPr>
      </w:pPr>
      <w:r>
        <w:rPr>
          <w:rFonts w:ascii="Times" w:hAnsi="Times" w:cs="Times"/>
          <w:sz w:val="32"/>
          <w:szCs w:val="32"/>
        </w:rPr>
        <w:t>Gli studi compiuti erano tuttavia molto pregevoli e, all’appuntamento con l’Europa, si sono riproposti come un patrimonio straordinario di conoscenze tecniche e scientifiche, naturalmente da aggiornare e approfondire per un progetto di grande attualità. Nell’Europa nascente, promotrice di politiche regionali di coesione e sviluppo intese a valorizzare le risorse territoriali economiche, naturali e culturali sottoutilizzate, il Ponte sullo Stretto si è ripresentato all’attenzione pubblica come un pezzo strategico dell’asse Berlino-Palermo, uno dei grandi corridoi del nuovo sistema continentale di trasporto fino al Mediterraneo, dove si incrociano i grandi traffici internazionali e crescono relazioni sempre più intense con i paesi della sponda africana. Qui inizia la travagliata storia degli anni a noi più vicini.</w:t>
      </w:r>
    </w:p>
    <w:p w14:paraId="6CAE2AA7" w14:textId="77777777" w:rsidR="003A0A4E" w:rsidRDefault="003A0A4E" w:rsidP="003A0A4E">
      <w:pPr>
        <w:widowControl w:val="0"/>
        <w:autoSpaceDE w:val="0"/>
        <w:autoSpaceDN w:val="0"/>
        <w:adjustRightInd w:val="0"/>
        <w:rPr>
          <w:rFonts w:ascii="Times" w:hAnsi="Times" w:cs="Times"/>
          <w:sz w:val="32"/>
          <w:szCs w:val="32"/>
          <w:u w:color="0000E9"/>
        </w:rPr>
      </w:pPr>
      <w:r>
        <w:rPr>
          <w:rFonts w:ascii="Times" w:hAnsi="Times" w:cs="Times"/>
          <w:sz w:val="32"/>
          <w:szCs w:val="32"/>
        </w:rPr>
        <w:t xml:space="preserve">Tutto è ricominciato nel migliore dei modi e con le più trasparenti procedure dell’amministrazione ordinaria. Nel 1997 sotto il Governo di Romano Prodi, il Consiglio superiore dei lavori pubblici ha riattivato il progetto; nel 1999, con bando di gara internazionale il progetto è stato sottoposto a verifiche di fattibilità, sia sotto il profilo tecnico (lo studio è stato effettuato dalla </w:t>
      </w:r>
      <w:proofErr w:type="spellStart"/>
      <w:r>
        <w:rPr>
          <w:rFonts w:ascii="Times" w:hAnsi="Times" w:cs="Times"/>
          <w:sz w:val="32"/>
          <w:szCs w:val="32"/>
        </w:rPr>
        <w:t>Steinman</w:t>
      </w:r>
      <w:proofErr w:type="spellEnd"/>
      <w:r>
        <w:rPr>
          <w:rFonts w:ascii="Times" w:hAnsi="Times" w:cs="Times"/>
          <w:sz w:val="32"/>
          <w:szCs w:val="32"/>
        </w:rPr>
        <w:t xml:space="preserve"> Parsons </w:t>
      </w:r>
      <w:proofErr w:type="spellStart"/>
      <w:r>
        <w:rPr>
          <w:rFonts w:ascii="Times" w:hAnsi="Times" w:cs="Times"/>
          <w:sz w:val="32"/>
          <w:szCs w:val="32"/>
        </w:rPr>
        <w:t>Trasportation</w:t>
      </w:r>
      <w:proofErr w:type="spellEnd"/>
      <w:r>
        <w:rPr>
          <w:rFonts w:ascii="Times" w:hAnsi="Times" w:cs="Times"/>
          <w:sz w:val="32"/>
          <w:szCs w:val="32"/>
        </w:rPr>
        <w:t xml:space="preserve">), sia sotto quello economico, trasportistico e ambientale, compreso l’impatto sulla criminalità (studi effettuati dall’Associazione temporanea di imprese con </w:t>
      </w:r>
      <w:proofErr w:type="spellStart"/>
      <w:r>
        <w:rPr>
          <w:rFonts w:ascii="Times" w:hAnsi="Times" w:cs="Times"/>
          <w:sz w:val="32"/>
          <w:szCs w:val="32"/>
        </w:rPr>
        <w:t>Pricewaterhouse</w:t>
      </w:r>
      <w:proofErr w:type="spellEnd"/>
      <w:r>
        <w:rPr>
          <w:rFonts w:ascii="Times" w:hAnsi="Times" w:cs="Times"/>
          <w:sz w:val="32"/>
          <w:szCs w:val="32"/>
        </w:rPr>
        <w:t xml:space="preserve"> </w:t>
      </w:r>
      <w:proofErr w:type="spellStart"/>
      <w:r>
        <w:rPr>
          <w:rFonts w:ascii="Times" w:hAnsi="Times" w:cs="Times"/>
          <w:sz w:val="32"/>
          <w:szCs w:val="32"/>
        </w:rPr>
        <w:t>Coopers</w:t>
      </w:r>
      <w:proofErr w:type="spellEnd"/>
      <w:r>
        <w:rPr>
          <w:rFonts w:ascii="Times" w:hAnsi="Times" w:cs="Times"/>
          <w:sz w:val="32"/>
          <w:szCs w:val="32"/>
        </w:rPr>
        <w:t xml:space="preserve"> Consulting, </w:t>
      </w:r>
      <w:proofErr w:type="spellStart"/>
      <w:r>
        <w:rPr>
          <w:rFonts w:ascii="Times" w:hAnsi="Times" w:cs="Times"/>
          <w:sz w:val="32"/>
          <w:szCs w:val="32"/>
        </w:rPr>
        <w:t>Pricewaterhouse</w:t>
      </w:r>
      <w:proofErr w:type="spellEnd"/>
      <w:r>
        <w:rPr>
          <w:rFonts w:ascii="Times" w:hAnsi="Times" w:cs="Times"/>
          <w:sz w:val="32"/>
          <w:szCs w:val="32"/>
        </w:rPr>
        <w:t xml:space="preserve"> </w:t>
      </w:r>
      <w:proofErr w:type="spellStart"/>
      <w:r>
        <w:rPr>
          <w:rFonts w:ascii="Times" w:hAnsi="Times" w:cs="Times"/>
          <w:sz w:val="32"/>
          <w:szCs w:val="32"/>
        </w:rPr>
        <w:t>Coopers</w:t>
      </w:r>
      <w:proofErr w:type="spellEnd"/>
      <w:r>
        <w:rPr>
          <w:rFonts w:ascii="Times" w:hAnsi="Times" w:cs="Times"/>
          <w:sz w:val="32"/>
          <w:szCs w:val="32"/>
        </w:rPr>
        <w:t xml:space="preserve"> UK, e Sintra </w:t>
      </w:r>
      <w:proofErr w:type="spellStart"/>
      <w:r>
        <w:rPr>
          <w:rFonts w:ascii="Times" w:hAnsi="Times" w:cs="Times"/>
          <w:sz w:val="32"/>
          <w:szCs w:val="32"/>
        </w:rPr>
        <w:t>srl</w:t>
      </w:r>
      <w:proofErr w:type="spellEnd"/>
      <w:r>
        <w:rPr>
          <w:rFonts w:ascii="Times" w:hAnsi="Times" w:cs="Times"/>
          <w:sz w:val="32"/>
          <w:szCs w:val="32"/>
        </w:rPr>
        <w:t>). Per indirizzo della Direzione di coordinamento territoriale dei ministeri dei Lavori Pubblici e dell’Economia, gli studi di fattibilità hanno messo a confronto le due soluzioni possibili, il potenziamento del traghettamento e il collegamento stabile. La fattibilità tecnica, l’aspetto più importante dell’opera data la mai realizzata lunghezza, è stata giudicata positivamente. Le altre valutazioni, con gli aspetti favorevoli e contrari e con l’indicazione della necessità in caso di scelta del Ponte di finanziamento con fondi pubblici, di un contratto preliminare con Ferrovie dello Stato e di un progetto integrato di area Messina-Reggio Calabria, sono state restituite al giudizio dei ministeri competenti, che in base ai risultati degli studi hanno avviato la consultazione del mercato</w:t>
      </w:r>
      <w:r>
        <w:rPr>
          <w:rFonts w:ascii="Times" w:hAnsi="Times" w:cs="Times"/>
          <w:color w:val="0000E9"/>
          <w:sz w:val="32"/>
          <w:szCs w:val="32"/>
          <w:u w:val="single" w:color="0000E9"/>
        </w:rPr>
        <w:t>[1]</w:t>
      </w:r>
      <w:r>
        <w:rPr>
          <w:rFonts w:ascii="Times" w:hAnsi="Times" w:cs="Times"/>
          <w:sz w:val="32"/>
          <w:szCs w:val="32"/>
          <w:u w:color="0000E9"/>
        </w:rPr>
        <w:t>.</w:t>
      </w:r>
    </w:p>
    <w:p w14:paraId="70A745CC" w14:textId="77777777" w:rsidR="003A0A4E" w:rsidRDefault="003A0A4E" w:rsidP="003A0A4E">
      <w:pPr>
        <w:widowControl w:val="0"/>
        <w:autoSpaceDE w:val="0"/>
        <w:autoSpaceDN w:val="0"/>
        <w:adjustRightInd w:val="0"/>
        <w:rPr>
          <w:rFonts w:ascii="Times" w:hAnsi="Times" w:cs="Times"/>
          <w:sz w:val="32"/>
          <w:szCs w:val="32"/>
          <w:u w:color="0000E9"/>
        </w:rPr>
      </w:pPr>
      <w:r>
        <w:rPr>
          <w:rFonts w:ascii="Times" w:hAnsi="Times" w:cs="Times"/>
          <w:sz w:val="32"/>
          <w:szCs w:val="32"/>
          <w:u w:color="0000E9"/>
        </w:rPr>
        <w:t xml:space="preserve">La caduta del Governo Prodi e l’ostilità al progetto espressa da quel momento in avanti dai partiti del centro-sinistra prima favorevoli, hanno trasformato il ponte in un simbolo ideologico (“opera faraonica”, “Ponte del Cavaliere”!), ma pur determinando forti condizionamenti non hanno fortunatamente fermato gli adempimenti conseguenti. Il progetto di Ponte è stato incluso nel 2003 tra i 18 progetti prioritari del Gruppo di Alto Livello Direzione dei trasporti dell’Unione, ma solo dopo una contrastata vicenda ha ottenuto il benestare del Parlamento europeo. Nel 2005 sono state concluse le gare internazionali per la selezione del general contractor, del project management </w:t>
      </w:r>
      <w:proofErr w:type="spellStart"/>
      <w:r>
        <w:rPr>
          <w:rFonts w:ascii="Times" w:hAnsi="Times" w:cs="Times"/>
          <w:sz w:val="32"/>
          <w:szCs w:val="32"/>
          <w:u w:color="0000E9"/>
        </w:rPr>
        <w:t>consultant</w:t>
      </w:r>
      <w:proofErr w:type="spellEnd"/>
      <w:r>
        <w:rPr>
          <w:rFonts w:ascii="Times" w:hAnsi="Times" w:cs="Times"/>
          <w:sz w:val="32"/>
          <w:szCs w:val="32"/>
          <w:u w:color="0000E9"/>
        </w:rPr>
        <w:t xml:space="preserve">, del monitore ambientale e del broker assicurativo. La gara per il general contractor è stata vinta da una associazione temporanea di imprese guidata dall’italiana Impregilo e a cui appartengono anche la spagnola </w:t>
      </w:r>
      <w:proofErr w:type="spellStart"/>
      <w:r>
        <w:rPr>
          <w:rFonts w:ascii="Times" w:hAnsi="Times" w:cs="Times"/>
          <w:sz w:val="32"/>
          <w:szCs w:val="32"/>
          <w:u w:color="0000E9"/>
        </w:rPr>
        <w:t>Sacyr</w:t>
      </w:r>
      <w:proofErr w:type="spellEnd"/>
      <w:r>
        <w:rPr>
          <w:rFonts w:ascii="Times" w:hAnsi="Times" w:cs="Times"/>
          <w:sz w:val="32"/>
          <w:szCs w:val="32"/>
          <w:u w:color="0000E9"/>
        </w:rPr>
        <w:t xml:space="preserve">, la Società italiana condotte, la Cooperativa CMC, la giapponese </w:t>
      </w:r>
      <w:proofErr w:type="spellStart"/>
      <w:r>
        <w:rPr>
          <w:rFonts w:ascii="Times" w:hAnsi="Times" w:cs="Times"/>
          <w:sz w:val="32"/>
          <w:szCs w:val="32"/>
          <w:u w:color="0000E9"/>
        </w:rPr>
        <w:t>Ishikawajima-Harima</w:t>
      </w:r>
      <w:proofErr w:type="spellEnd"/>
      <w:r>
        <w:rPr>
          <w:rFonts w:ascii="Times" w:hAnsi="Times" w:cs="Times"/>
          <w:sz w:val="32"/>
          <w:szCs w:val="32"/>
          <w:u w:color="0000E9"/>
        </w:rPr>
        <w:t xml:space="preserve"> H.I, la Argo costruzioni di Gavio, tutte imprese già artefici in passato della realizzazione di grandi opere infrastrutturali e ponti sospesi, tra cui il ponte di </w:t>
      </w:r>
      <w:proofErr w:type="spellStart"/>
      <w:r>
        <w:rPr>
          <w:rFonts w:ascii="Times" w:hAnsi="Times" w:cs="Times"/>
          <w:sz w:val="32"/>
          <w:szCs w:val="32"/>
          <w:u w:color="0000E9"/>
        </w:rPr>
        <w:t>Akahasi</w:t>
      </w:r>
      <w:proofErr w:type="spellEnd"/>
      <w:r>
        <w:rPr>
          <w:rFonts w:ascii="Times" w:hAnsi="Times" w:cs="Times"/>
          <w:sz w:val="32"/>
          <w:szCs w:val="32"/>
          <w:u w:color="0000E9"/>
        </w:rPr>
        <w:t xml:space="preserve"> in Giappone. I soggetti incaricati della progettazione sono la danese </w:t>
      </w:r>
      <w:proofErr w:type="spellStart"/>
      <w:r>
        <w:rPr>
          <w:rFonts w:ascii="Times" w:hAnsi="Times" w:cs="Times"/>
          <w:sz w:val="32"/>
          <w:szCs w:val="32"/>
          <w:u w:color="0000E9"/>
        </w:rPr>
        <w:t>Cowi</w:t>
      </w:r>
      <w:proofErr w:type="spellEnd"/>
      <w:r>
        <w:rPr>
          <w:rFonts w:ascii="Times" w:hAnsi="Times" w:cs="Times"/>
          <w:sz w:val="32"/>
          <w:szCs w:val="32"/>
          <w:u w:color="0000E9"/>
        </w:rPr>
        <w:t xml:space="preserve"> e la danese </w:t>
      </w:r>
      <w:proofErr w:type="spellStart"/>
      <w:r>
        <w:rPr>
          <w:rFonts w:ascii="Times" w:hAnsi="Times" w:cs="Times"/>
          <w:sz w:val="32"/>
          <w:szCs w:val="32"/>
          <w:u w:color="0000E9"/>
        </w:rPr>
        <w:t>Sund</w:t>
      </w:r>
      <w:proofErr w:type="spellEnd"/>
      <w:r>
        <w:rPr>
          <w:rFonts w:ascii="Times" w:hAnsi="Times" w:cs="Times"/>
          <w:sz w:val="32"/>
          <w:szCs w:val="32"/>
          <w:u w:color="0000E9"/>
        </w:rPr>
        <w:t xml:space="preserve"> &amp; </w:t>
      </w:r>
      <w:proofErr w:type="spellStart"/>
      <w:r>
        <w:rPr>
          <w:rFonts w:ascii="Times" w:hAnsi="Times" w:cs="Times"/>
          <w:sz w:val="32"/>
          <w:szCs w:val="32"/>
          <w:u w:color="0000E9"/>
        </w:rPr>
        <w:t>Belaelt</w:t>
      </w:r>
      <w:proofErr w:type="spellEnd"/>
      <w:r>
        <w:rPr>
          <w:rFonts w:ascii="Times" w:hAnsi="Times" w:cs="Times"/>
          <w:sz w:val="32"/>
          <w:szCs w:val="32"/>
          <w:u w:color="0000E9"/>
        </w:rPr>
        <w:t xml:space="preserve">, costruttrici del ponte di </w:t>
      </w:r>
      <w:proofErr w:type="spellStart"/>
      <w:r>
        <w:rPr>
          <w:rFonts w:ascii="Times" w:hAnsi="Times" w:cs="Times"/>
          <w:sz w:val="32"/>
          <w:szCs w:val="32"/>
          <w:u w:color="0000E9"/>
        </w:rPr>
        <w:t>Oresund</w:t>
      </w:r>
      <w:proofErr w:type="spellEnd"/>
      <w:r>
        <w:rPr>
          <w:rFonts w:ascii="Times" w:hAnsi="Times" w:cs="Times"/>
          <w:sz w:val="32"/>
          <w:szCs w:val="32"/>
          <w:u w:color="0000E9"/>
        </w:rPr>
        <w:t xml:space="preserve"> che unisce con i suoi 15,9 km  di lunghezza la Svezia e la Danimarca, e la canadese </w:t>
      </w:r>
      <w:proofErr w:type="spellStart"/>
      <w:r>
        <w:rPr>
          <w:rFonts w:ascii="Times" w:hAnsi="Times" w:cs="Times"/>
          <w:sz w:val="32"/>
          <w:szCs w:val="32"/>
          <w:u w:color="0000E9"/>
        </w:rPr>
        <w:t>Bikland</w:t>
      </w:r>
      <w:proofErr w:type="spellEnd"/>
      <w:r>
        <w:rPr>
          <w:rFonts w:ascii="Times" w:hAnsi="Times" w:cs="Times"/>
          <w:sz w:val="32"/>
          <w:szCs w:val="32"/>
          <w:u w:color="0000E9"/>
        </w:rPr>
        <w:t xml:space="preserve">  &amp; Taylor </w:t>
      </w:r>
      <w:proofErr w:type="spellStart"/>
      <w:r>
        <w:rPr>
          <w:rFonts w:ascii="Times" w:hAnsi="Times" w:cs="Times"/>
          <w:sz w:val="32"/>
          <w:szCs w:val="32"/>
          <w:u w:color="0000E9"/>
        </w:rPr>
        <w:t>Ldt</w:t>
      </w:r>
      <w:proofErr w:type="spellEnd"/>
      <w:r>
        <w:rPr>
          <w:rFonts w:ascii="Times" w:hAnsi="Times" w:cs="Times"/>
          <w:sz w:val="32"/>
          <w:szCs w:val="32"/>
          <w:u w:color="0000E9"/>
        </w:rPr>
        <w:t xml:space="preserve">.. progettista di grandi ponti in America ed Europa. Per la verifica e il controllo della progettazione definitiva si è aggiudicata la gara la Parsons </w:t>
      </w:r>
      <w:proofErr w:type="spellStart"/>
      <w:r>
        <w:rPr>
          <w:rFonts w:ascii="Times" w:hAnsi="Times" w:cs="Times"/>
          <w:sz w:val="32"/>
          <w:szCs w:val="32"/>
          <w:u w:color="0000E9"/>
        </w:rPr>
        <w:t>Trasportation</w:t>
      </w:r>
      <w:proofErr w:type="spellEnd"/>
      <w:r>
        <w:rPr>
          <w:rFonts w:ascii="Times" w:hAnsi="Times" w:cs="Times"/>
          <w:sz w:val="32"/>
          <w:szCs w:val="32"/>
          <w:u w:color="0000E9"/>
        </w:rPr>
        <w:t xml:space="preserve"> Group, leader mondiale nella progettazione di ponti sospesi. Con i vincitori delle gare sono state firmate, tra gennaio e aprile 2006, prima della data fissata per le elezioni, le relative convenzioni.</w:t>
      </w:r>
    </w:p>
    <w:p w14:paraId="5C2D8A22" w14:textId="77777777" w:rsidR="003A0A4E" w:rsidRDefault="003A0A4E" w:rsidP="003A0A4E">
      <w:pPr>
        <w:widowControl w:val="0"/>
        <w:autoSpaceDE w:val="0"/>
        <w:autoSpaceDN w:val="0"/>
        <w:adjustRightInd w:val="0"/>
        <w:rPr>
          <w:rFonts w:ascii="Times" w:hAnsi="Times" w:cs="Times"/>
          <w:sz w:val="32"/>
          <w:szCs w:val="32"/>
          <w:u w:color="0000E9"/>
        </w:rPr>
      </w:pPr>
      <w:r>
        <w:rPr>
          <w:rFonts w:ascii="Times" w:hAnsi="Times" w:cs="Times"/>
          <w:sz w:val="32"/>
          <w:szCs w:val="32"/>
          <w:u w:color="0000E9"/>
        </w:rPr>
        <w:t>Nuovamente al governo fino al maggio 2008, il centro-sinistra con Prodi alla guida, ha invece sospeso per legge la procedura di realizzazione dell’opera. La quota di investimento pubblico a carico della società Stretto di Messina, per il valore di 1,3 miliardi di euro, è stata formalmente orientata verso altre opere in Calabria e Sicilia, ma di fatto utilizzata successivamente dal nuovo governo di centro destra per la parziale copertura finanziaria dell’abolizione dell’Ici. Recentemente, avendo lo stesso governo ancora in carica reinserito il Ponte fra le opere da realizzare, tale quota è tornata alla Società Stretto di Messina come se si trattasse di un nuovo finanziamento. Il tempo trascorso ha comportato la ridefinizione e l’aggiustamento delle convenzioni con le società già vincitrici delle gare, anche se il costo complessivo includendovi 20,3 km di collegamenti stradali e 19,8 km di opere ferroviarie non è significativamente lievitato, rimanendo fermo a 6.1 miliardi. Intanto, a progetto accantonato, l’Anas è diventata azionista di maggioranza delle società Stretto di Messina, con l’81% delle azioni, accanto a RFI con il 13%, Regione Calabria e Regione Sicilia con una piccola partecipazione del 2.6% ciascuna. E’ rimasto invece invariato il piano finanziario impostato dalla Stretto di Messina sul modello già adottato negli anni sessanta-settanta per la costruzione delle autostrade a pedaggio, dunque prevalentemente nel Centro-Nord del paese: la concessione trentennale, il ricorso al mercato finanziario, il recupero totale dell’investimento attraverso il pedaggio e la garanzia statale del traffico minimo (la Società autostrade godette anche di cospicui contributi a fondo perduto).</w:t>
      </w:r>
    </w:p>
    <w:p w14:paraId="5A193143" w14:textId="77777777" w:rsidR="003A0A4E" w:rsidRDefault="003A0A4E" w:rsidP="003A0A4E">
      <w:pPr>
        <w:widowControl w:val="0"/>
        <w:autoSpaceDE w:val="0"/>
        <w:autoSpaceDN w:val="0"/>
        <w:adjustRightInd w:val="0"/>
        <w:rPr>
          <w:rFonts w:ascii="Times" w:hAnsi="Times" w:cs="Times"/>
          <w:sz w:val="32"/>
          <w:szCs w:val="32"/>
          <w:u w:color="0000E9"/>
        </w:rPr>
      </w:pPr>
      <w:r>
        <w:rPr>
          <w:rFonts w:ascii="Times" w:hAnsi="Times" w:cs="Times"/>
          <w:sz w:val="32"/>
          <w:szCs w:val="32"/>
          <w:u w:color="0000E9"/>
        </w:rPr>
        <w:t>A conclusione di una percorso di decisione pubblica così contorto, confortato comunque dal valore di ricerche (svolte senza spreco di denaro) e da una trasparente selezione delle società esecutrici, si fa una certa fatica a pensare di essere alla vigilia di una svolta che riguarderebbe inevitabilmente, se il collegamento fosse realizzato, tutte le reti di trasporto delle regioni meridionali. Le ricadute economiche e civili sono immaginabili se solo ci si sapesse liberare di quegli scrupolosi ma inutili calcoli costruiti sulle condizioni attuali estremamente arretrate dei trasporti ferroviari e si considerassero le molte potenzialità mai espresse: se si considerassero ad esempio l’assenza di relazioni interregionali, le gravi limitazioni delle opportunità, il peso dei costi, che una inefficiente rete di trasporto trasferisce sulle attività e le relazioni di ogni tipo. Già, perché quel che meno si dice è che i poco più di tre chilometri che separano la Sicilia dalla Calabria, sono molti per un ponte a unica luce in sospeso, e per questo hanno sicuramente profittato dei tempi lunghi degli studi e dovranno essere costruiti con massima cura tecnico-ingegneristica; ma il possibile collegamento che li riguarda è una condizione tecnica necessaria per portare i treni Eurostar (che non sono scomponibili, quindi neanche traghettabili) e le strutture per l’alta velocità fino alla Sicilia e ai suoi 5 milioni e mezzo di cittadini. Con velocità che toccano i 300 km orari, quei treni oggi consentono di percorrere in meno di tre ore gli oltre 630 chilometri da Roma e Milano e in poco più di quattro ore gli oltre 780 chilometri da Roma a Torino via Milano, mentre per i 500 km che separano Roma e Reggio Calabria se ne impiegano nel migliore dei casi oltre sei.</w:t>
      </w:r>
    </w:p>
    <w:p w14:paraId="1383BB4C" w14:textId="77777777" w:rsidR="003A0A4E" w:rsidRDefault="003A0A4E" w:rsidP="003A0A4E">
      <w:pPr>
        <w:widowControl w:val="0"/>
        <w:autoSpaceDE w:val="0"/>
        <w:autoSpaceDN w:val="0"/>
        <w:adjustRightInd w:val="0"/>
        <w:rPr>
          <w:rFonts w:ascii="Times" w:hAnsi="Times" w:cs="Times"/>
          <w:sz w:val="32"/>
          <w:szCs w:val="32"/>
          <w:u w:color="0000E9"/>
        </w:rPr>
      </w:pPr>
      <w:r>
        <w:rPr>
          <w:rFonts w:ascii="Times" w:hAnsi="Times" w:cs="Times"/>
          <w:sz w:val="32"/>
          <w:szCs w:val="32"/>
          <w:u w:color="0000E9"/>
        </w:rPr>
        <w:t>E’ difficile credere di essere di fronte ad una svolta mentre tutta l’attenzione (i soldi pubblici) di RFI è concentrata sul Centro-Nord, più precisamente sulla direttrice Napoli-Roma-Milano-Torino e mentre le reti del Sud al di sotto di Napoli sono al più interessate da qualche intervento di sistemazione; al punto che qualche giorno addietro dal principale organo di stampa siciliano è stata annunciata come una svolta l’imminente velocizzazione della ferrovia Palermo-Catania, portando i tempi di percorrenza per 200 km di linea a 2 ore e 45 minuti!!!! </w:t>
      </w:r>
    </w:p>
    <w:p w14:paraId="3FB511ED" w14:textId="77777777" w:rsidR="003A0A4E" w:rsidRDefault="003A0A4E" w:rsidP="003A0A4E">
      <w:pPr>
        <w:widowControl w:val="0"/>
        <w:autoSpaceDE w:val="0"/>
        <w:autoSpaceDN w:val="0"/>
        <w:adjustRightInd w:val="0"/>
        <w:rPr>
          <w:rFonts w:ascii="Times" w:hAnsi="Times" w:cs="Times"/>
          <w:sz w:val="32"/>
          <w:szCs w:val="32"/>
          <w:u w:color="0000E9"/>
        </w:rPr>
      </w:pPr>
      <w:r>
        <w:rPr>
          <w:rFonts w:ascii="Times" w:hAnsi="Times" w:cs="Times"/>
          <w:sz w:val="32"/>
          <w:szCs w:val="32"/>
          <w:u w:color="0000E9"/>
        </w:rPr>
        <w:t>Difficile credere alla svolta in un paese in cui la spesa in conto capitale del settore pubblico allargato verso le regioni del Sud è decisamente diminuita negli ultimi dieci anni riuscendo persino ad indebolire la qualità di servizi che competono interamente alle politiche pubbliche ordinarie, regionali e locali; ma in cui l’eco più forte sull’opinione comune è quella di chi parla di sottrazione di ingenti risorse ai danni delle regioni del Nord. All’alta velocità ferroviaria Napoli-Roma-Milano-Torino, sono stati dedicati finora, ed è bene che sia avvenuto, 32 miliardi di euro (7 miliardi solo per la Torino-Milano), senza che nessun economista in nome del mercato e della valutazione costi-benefici abbia protestato per il fatto che si tratta di soldi esclusivamente pubblici investiti senza la certezza -posso testimoniare da assidua viaggiatrice di essere spesso salita anche su treni semivuoti- di sufficienti rientri attraverso le tariffe. Se lo ricordo è solo per sottolineare che la misura del costo del Ponte con i suoi 40 km di collegamenti, 6,1 miliardi di cui solo 1,3 di provenienza pubblica, può darla solo il confronto con altri capitoli di spesa: con gli oltre 25 miliardi di euro (4 ponti con collegamenti) distratti dal 2008 ad oggi dal Fondo per le aree sottoutilizzate e dalla loro naturale destinazione alle regioni del Sud per gli usi più svariati; con i 4 miliardi l’anno di trasferimenti pubblici alle imprese (in dieci anni 6 ponti con collegamenti, o tutta l’alta velocità ferroviaria da Napoli alla Sicilia).</w:t>
      </w:r>
    </w:p>
    <w:p w14:paraId="207D773C" w14:textId="77777777" w:rsidR="003A0A4E" w:rsidRDefault="003A0A4E" w:rsidP="003A0A4E">
      <w:pPr>
        <w:widowControl w:val="0"/>
        <w:autoSpaceDE w:val="0"/>
        <w:autoSpaceDN w:val="0"/>
        <w:adjustRightInd w:val="0"/>
        <w:rPr>
          <w:rFonts w:ascii="Times" w:hAnsi="Times" w:cs="Times"/>
          <w:sz w:val="32"/>
          <w:szCs w:val="32"/>
          <w:u w:color="0000E9"/>
        </w:rPr>
      </w:pPr>
      <w:r>
        <w:rPr>
          <w:rFonts w:ascii="Times" w:hAnsi="Times" w:cs="Times"/>
          <w:sz w:val="32"/>
          <w:szCs w:val="32"/>
          <w:u w:color="0000E9"/>
        </w:rPr>
        <w:t>Il segnale della svolta esiste, ed è posizionato sulle vie dell’azione e della qualità della spesa ordinaria per investimenti di sistema compreso il Ponte, non per singole straordinarie opere su cui far crescere poteri eccezionali e autonomia di corpi dello Stato. E’ un segnale che indica alle classi dirigenti nazionali, regionali e locali, la necessità di essere all’altezza della grande opera che annunciano, come lo sono state le classi dirigenti che hanno costruito e unificato l’Italia anche con le grandi opere pubbliche e le grandi reti di comunicazione.</w:t>
      </w:r>
    </w:p>
    <w:p w14:paraId="0853ECE0" w14:textId="77777777" w:rsidR="003A0A4E" w:rsidRDefault="003A0A4E" w:rsidP="003A0A4E">
      <w:pPr>
        <w:widowControl w:val="0"/>
        <w:autoSpaceDE w:val="0"/>
        <w:autoSpaceDN w:val="0"/>
        <w:adjustRightInd w:val="0"/>
        <w:rPr>
          <w:rFonts w:ascii="Times" w:hAnsi="Times" w:cs="Times"/>
          <w:sz w:val="32"/>
          <w:szCs w:val="32"/>
          <w:u w:color="0000E9"/>
        </w:rPr>
      </w:pPr>
    </w:p>
    <w:p w14:paraId="16B30A12" w14:textId="77777777" w:rsidR="003A0A4E" w:rsidRDefault="003A0A4E" w:rsidP="003A0A4E">
      <w:pPr>
        <w:widowControl w:val="0"/>
        <w:autoSpaceDE w:val="0"/>
        <w:autoSpaceDN w:val="0"/>
        <w:adjustRightInd w:val="0"/>
        <w:jc w:val="both"/>
        <w:rPr>
          <w:rFonts w:ascii="Times" w:hAnsi="Times" w:cs="Times"/>
          <w:sz w:val="32"/>
          <w:szCs w:val="32"/>
          <w:u w:color="0000E9"/>
        </w:rPr>
      </w:pPr>
      <w:r>
        <w:rPr>
          <w:rFonts w:ascii="Times" w:hAnsi="Times" w:cs="Times"/>
          <w:b/>
          <w:bCs/>
          <w:sz w:val="32"/>
          <w:szCs w:val="32"/>
          <w:u w:color="0000E9"/>
        </w:rPr>
        <w:t>Bibliografia minima:</w:t>
      </w:r>
    </w:p>
    <w:p w14:paraId="6D960CF5" w14:textId="77777777" w:rsidR="003A0A4E" w:rsidRDefault="003A0A4E" w:rsidP="003A0A4E">
      <w:pPr>
        <w:widowControl w:val="0"/>
        <w:autoSpaceDE w:val="0"/>
        <w:autoSpaceDN w:val="0"/>
        <w:adjustRightInd w:val="0"/>
        <w:jc w:val="both"/>
        <w:rPr>
          <w:rFonts w:ascii="Times" w:hAnsi="Times" w:cs="Times"/>
          <w:sz w:val="32"/>
          <w:szCs w:val="32"/>
          <w:u w:color="0000E9"/>
        </w:rPr>
      </w:pPr>
      <w:r>
        <w:rPr>
          <w:rFonts w:ascii="Times" w:hAnsi="Times" w:cs="Times"/>
          <w:sz w:val="32"/>
          <w:szCs w:val="32"/>
          <w:u w:color="0000E9"/>
        </w:rPr>
        <w:t>Gruppo Ponte Messina Spa, Rapporto di fattibilità tecnica, imprenditoriale, ambientale , economica e finanziaria per un collegamento viario e ferroviario fra la Sicilia e il Continente, Roma 1981.</w:t>
      </w:r>
    </w:p>
    <w:p w14:paraId="307C0A97" w14:textId="77777777" w:rsidR="003A0A4E" w:rsidRDefault="003A0A4E" w:rsidP="003A0A4E">
      <w:pPr>
        <w:widowControl w:val="0"/>
        <w:autoSpaceDE w:val="0"/>
        <w:autoSpaceDN w:val="0"/>
        <w:adjustRightInd w:val="0"/>
        <w:jc w:val="both"/>
        <w:rPr>
          <w:rFonts w:ascii="Times" w:hAnsi="Times" w:cs="Times"/>
          <w:sz w:val="32"/>
          <w:szCs w:val="32"/>
          <w:u w:color="0000E9"/>
        </w:rPr>
      </w:pPr>
      <w:proofErr w:type="spellStart"/>
      <w:r>
        <w:rPr>
          <w:rFonts w:ascii="Times" w:hAnsi="Times" w:cs="Times"/>
          <w:sz w:val="32"/>
          <w:szCs w:val="32"/>
          <w:u w:color="0000E9"/>
        </w:rPr>
        <w:t>Advsor</w:t>
      </w:r>
      <w:proofErr w:type="spellEnd"/>
      <w:r>
        <w:rPr>
          <w:rFonts w:ascii="Times" w:hAnsi="Times" w:cs="Times"/>
          <w:sz w:val="32"/>
          <w:szCs w:val="32"/>
          <w:u w:color="0000E9"/>
        </w:rPr>
        <w:t xml:space="preserve"> , Rapporto finale, Executive </w:t>
      </w:r>
      <w:proofErr w:type="spellStart"/>
      <w:r>
        <w:rPr>
          <w:rFonts w:ascii="Times" w:hAnsi="Times" w:cs="Times"/>
          <w:sz w:val="32"/>
          <w:szCs w:val="32"/>
          <w:u w:color="0000E9"/>
        </w:rPr>
        <w:t>Summary</w:t>
      </w:r>
      <w:proofErr w:type="spellEnd"/>
      <w:r>
        <w:rPr>
          <w:rFonts w:ascii="Times" w:hAnsi="Times" w:cs="Times"/>
          <w:sz w:val="32"/>
          <w:szCs w:val="32"/>
          <w:u w:color="0000E9"/>
        </w:rPr>
        <w:t>, Roma 28 febbraio 2001.</w:t>
      </w:r>
    </w:p>
    <w:p w14:paraId="21AF18CD" w14:textId="77777777" w:rsidR="003A0A4E" w:rsidRDefault="003A0A4E" w:rsidP="003A0A4E">
      <w:pPr>
        <w:widowControl w:val="0"/>
        <w:autoSpaceDE w:val="0"/>
        <w:autoSpaceDN w:val="0"/>
        <w:adjustRightInd w:val="0"/>
        <w:jc w:val="both"/>
        <w:rPr>
          <w:rFonts w:ascii="Times" w:hAnsi="Times" w:cs="Times"/>
          <w:sz w:val="32"/>
          <w:szCs w:val="32"/>
          <w:u w:color="0000E9"/>
        </w:rPr>
      </w:pPr>
      <w:r>
        <w:rPr>
          <w:rFonts w:ascii="Times" w:hAnsi="Times" w:cs="Times"/>
          <w:sz w:val="32"/>
          <w:szCs w:val="32"/>
          <w:u w:color="0000E9"/>
        </w:rPr>
        <w:t>Collegamento stabile Sicilia-Continente, Relazione di accompagnamento, redatta dall’amministrazione, Ministero dei Lavori Pubblici –</w:t>
      </w:r>
      <w:proofErr w:type="spellStart"/>
      <w:r>
        <w:rPr>
          <w:rFonts w:ascii="Times" w:hAnsi="Times" w:cs="Times"/>
          <w:sz w:val="32"/>
          <w:szCs w:val="32"/>
          <w:u w:color="0000E9"/>
        </w:rPr>
        <w:t>Dicoter</w:t>
      </w:r>
      <w:proofErr w:type="spellEnd"/>
      <w:r>
        <w:rPr>
          <w:rFonts w:ascii="Times" w:hAnsi="Times" w:cs="Times"/>
          <w:sz w:val="32"/>
          <w:szCs w:val="32"/>
          <w:u w:color="0000E9"/>
        </w:rPr>
        <w:t>, Ministero del Tesoro, del Bilancio e della Programmazione economica –DPS (</w:t>
      </w:r>
      <w:proofErr w:type="spellStart"/>
      <w:r>
        <w:rPr>
          <w:rFonts w:ascii="Times" w:hAnsi="Times" w:cs="Times"/>
          <w:sz w:val="32"/>
          <w:szCs w:val="32"/>
          <w:u w:color="0000E9"/>
        </w:rPr>
        <w:t>dott.F.Barca</w:t>
      </w:r>
      <w:proofErr w:type="spellEnd"/>
      <w:r>
        <w:rPr>
          <w:rFonts w:ascii="Times" w:hAnsi="Times" w:cs="Times"/>
          <w:sz w:val="32"/>
          <w:szCs w:val="32"/>
          <w:u w:color="0000E9"/>
        </w:rPr>
        <w:t xml:space="preserve"> e Arch. </w:t>
      </w:r>
      <w:proofErr w:type="spellStart"/>
      <w:r>
        <w:rPr>
          <w:rFonts w:ascii="Times" w:hAnsi="Times" w:cs="Times"/>
          <w:sz w:val="32"/>
          <w:szCs w:val="32"/>
          <w:u w:color="0000E9"/>
        </w:rPr>
        <w:t>G.Fontana</w:t>
      </w:r>
      <w:proofErr w:type="spellEnd"/>
      <w:r>
        <w:rPr>
          <w:rFonts w:ascii="Times" w:hAnsi="Times" w:cs="Times"/>
          <w:sz w:val="32"/>
          <w:szCs w:val="32"/>
          <w:u w:color="0000E9"/>
        </w:rPr>
        <w:t>), Roma gennaio 2001.</w:t>
      </w:r>
    </w:p>
    <w:p w14:paraId="5557310F" w14:textId="77777777" w:rsidR="003A0A4E" w:rsidRDefault="003A0A4E" w:rsidP="003A0A4E">
      <w:pPr>
        <w:widowControl w:val="0"/>
        <w:autoSpaceDE w:val="0"/>
        <w:autoSpaceDN w:val="0"/>
        <w:adjustRightInd w:val="0"/>
        <w:jc w:val="both"/>
        <w:rPr>
          <w:rFonts w:ascii="Times" w:hAnsi="Times" w:cs="Times"/>
          <w:sz w:val="32"/>
          <w:szCs w:val="32"/>
          <w:u w:color="0000E9"/>
        </w:rPr>
      </w:pPr>
      <w:r>
        <w:rPr>
          <w:rFonts w:ascii="Times" w:hAnsi="Times" w:cs="Times"/>
          <w:sz w:val="32"/>
          <w:szCs w:val="32"/>
          <w:u w:color="0000E9"/>
        </w:rPr>
        <w:t>Ponte sullo Stretto, numero monografico di “Meridiana. Rivista di storia e scienze sociali”, n. 41, Donzelli, Roma 2001.</w:t>
      </w:r>
    </w:p>
    <w:p w14:paraId="0D01FC52" w14:textId="77777777" w:rsidR="003A0A4E" w:rsidRDefault="003A0A4E" w:rsidP="003A0A4E">
      <w:pPr>
        <w:widowControl w:val="0"/>
        <w:autoSpaceDE w:val="0"/>
        <w:autoSpaceDN w:val="0"/>
        <w:adjustRightInd w:val="0"/>
        <w:jc w:val="both"/>
        <w:rPr>
          <w:rFonts w:ascii="Times" w:hAnsi="Times" w:cs="Times"/>
          <w:sz w:val="32"/>
          <w:szCs w:val="32"/>
          <w:u w:color="0000E9"/>
        </w:rPr>
      </w:pPr>
      <w:r>
        <w:rPr>
          <w:rFonts w:ascii="Times" w:hAnsi="Times" w:cs="Times"/>
          <w:sz w:val="32"/>
          <w:szCs w:val="32"/>
          <w:u w:color="0000E9"/>
        </w:rPr>
        <w:t xml:space="preserve">La rete possibile. I trasporti meridionali fra storia, progetti e polemiche, a cura di </w:t>
      </w:r>
      <w:proofErr w:type="spellStart"/>
      <w:r>
        <w:rPr>
          <w:rFonts w:ascii="Times" w:hAnsi="Times" w:cs="Times"/>
          <w:sz w:val="32"/>
          <w:szCs w:val="32"/>
          <w:u w:color="0000E9"/>
        </w:rPr>
        <w:t>L.D’Antone</w:t>
      </w:r>
      <w:proofErr w:type="spellEnd"/>
      <w:r>
        <w:rPr>
          <w:rFonts w:ascii="Times" w:hAnsi="Times" w:cs="Times"/>
          <w:sz w:val="32"/>
          <w:szCs w:val="32"/>
          <w:u w:color="0000E9"/>
        </w:rPr>
        <w:t>, Donzelli, Roma 2004.</w:t>
      </w:r>
    </w:p>
    <w:p w14:paraId="20399089" w14:textId="77777777" w:rsidR="003A0A4E" w:rsidRDefault="003A0A4E" w:rsidP="003A0A4E">
      <w:pPr>
        <w:widowControl w:val="0"/>
        <w:autoSpaceDE w:val="0"/>
        <w:autoSpaceDN w:val="0"/>
        <w:adjustRightInd w:val="0"/>
        <w:jc w:val="both"/>
        <w:rPr>
          <w:rFonts w:ascii="Times" w:hAnsi="Times" w:cs="Times"/>
          <w:sz w:val="32"/>
          <w:szCs w:val="32"/>
          <w:u w:color="0000E9"/>
        </w:rPr>
      </w:pPr>
      <w:proofErr w:type="spellStart"/>
      <w:r>
        <w:rPr>
          <w:rFonts w:ascii="Times" w:hAnsi="Times" w:cs="Times"/>
          <w:sz w:val="32"/>
          <w:szCs w:val="32"/>
          <w:u w:color="0000E9"/>
        </w:rPr>
        <w:t>F.Russo</w:t>
      </w:r>
      <w:proofErr w:type="spellEnd"/>
      <w:r>
        <w:rPr>
          <w:rFonts w:ascii="Times" w:hAnsi="Times" w:cs="Times"/>
          <w:sz w:val="32"/>
          <w:szCs w:val="32"/>
          <w:u w:color="0000E9"/>
        </w:rPr>
        <w:t xml:space="preserve">, Un Mediterraneo da integrare. L’Italia e i corridoi euromediterranei di trasporto, </w:t>
      </w:r>
      <w:proofErr w:type="spellStart"/>
      <w:r>
        <w:rPr>
          <w:rFonts w:ascii="Times" w:hAnsi="Times" w:cs="Times"/>
          <w:sz w:val="32"/>
          <w:szCs w:val="32"/>
          <w:u w:color="0000E9"/>
        </w:rPr>
        <w:t>Mesogea</w:t>
      </w:r>
      <w:proofErr w:type="spellEnd"/>
      <w:r>
        <w:rPr>
          <w:rFonts w:ascii="Times" w:hAnsi="Times" w:cs="Times"/>
          <w:sz w:val="32"/>
          <w:szCs w:val="32"/>
          <w:u w:color="0000E9"/>
        </w:rPr>
        <w:t>, Messina 2006.</w:t>
      </w:r>
    </w:p>
    <w:p w14:paraId="5B6A9AD4" w14:textId="77777777" w:rsidR="003A0A4E" w:rsidRDefault="003A0A4E" w:rsidP="003A0A4E">
      <w:pPr>
        <w:widowControl w:val="0"/>
        <w:autoSpaceDE w:val="0"/>
        <w:autoSpaceDN w:val="0"/>
        <w:adjustRightInd w:val="0"/>
        <w:jc w:val="both"/>
        <w:rPr>
          <w:rFonts w:ascii="Times" w:hAnsi="Times" w:cs="Times"/>
          <w:sz w:val="32"/>
          <w:szCs w:val="32"/>
          <w:u w:color="0000E9"/>
        </w:rPr>
      </w:pPr>
    </w:p>
    <w:p w14:paraId="23C2A6A9" w14:textId="77777777" w:rsidR="003A0A4E" w:rsidRDefault="003A0A4E" w:rsidP="003A0A4E">
      <w:pPr>
        <w:widowControl w:val="0"/>
        <w:autoSpaceDE w:val="0"/>
        <w:autoSpaceDN w:val="0"/>
        <w:adjustRightInd w:val="0"/>
        <w:jc w:val="both"/>
        <w:rPr>
          <w:rFonts w:ascii="Times" w:hAnsi="Times" w:cs="Times"/>
          <w:sz w:val="32"/>
          <w:szCs w:val="32"/>
          <w:u w:color="0000E9"/>
        </w:rPr>
      </w:pPr>
      <w:r>
        <w:rPr>
          <w:rFonts w:ascii="Times" w:hAnsi="Times" w:cs="Times"/>
          <w:color w:val="0000E9"/>
          <w:sz w:val="32"/>
          <w:szCs w:val="32"/>
          <w:u w:val="single" w:color="0000E9"/>
        </w:rPr>
        <w:t>[1]</w:t>
      </w:r>
      <w:r>
        <w:rPr>
          <w:rFonts w:ascii="Times" w:hAnsi="Times" w:cs="Times"/>
          <w:sz w:val="32"/>
          <w:szCs w:val="32"/>
          <w:u w:color="0000E9"/>
        </w:rPr>
        <w:t xml:space="preserve"> Su questo punto è preziosa la ricostruzione dei protagonisti per conto della pubblica amministrazione: F. </w:t>
      </w:r>
      <w:proofErr w:type="spellStart"/>
      <w:r>
        <w:rPr>
          <w:rFonts w:ascii="Times" w:hAnsi="Times" w:cs="Times"/>
          <w:sz w:val="32"/>
          <w:szCs w:val="32"/>
          <w:u w:color="0000E9"/>
        </w:rPr>
        <w:t>Barca-G.Fontana</w:t>
      </w:r>
      <w:proofErr w:type="spellEnd"/>
      <w:r>
        <w:rPr>
          <w:rFonts w:ascii="Times" w:hAnsi="Times" w:cs="Times"/>
          <w:sz w:val="32"/>
          <w:szCs w:val="32"/>
          <w:u w:color="0000E9"/>
        </w:rPr>
        <w:t>, Collegare Sicilia e Continente: un modo per decidere, in Ponte sullo Stretto, “Meridiana. Rivista di storia e scienze sociali”, n.41, Donzelli, Roma 2001.</w:t>
      </w:r>
    </w:p>
    <w:p w14:paraId="7D806D98" w14:textId="77777777" w:rsidR="003A0A4E" w:rsidRDefault="003A0A4E" w:rsidP="003A0A4E">
      <w:pPr>
        <w:widowControl w:val="0"/>
        <w:autoSpaceDE w:val="0"/>
        <w:autoSpaceDN w:val="0"/>
        <w:adjustRightInd w:val="0"/>
        <w:jc w:val="both"/>
        <w:rPr>
          <w:rFonts w:ascii="Times" w:hAnsi="Times" w:cs="Times"/>
          <w:sz w:val="32"/>
          <w:szCs w:val="32"/>
          <w:u w:color="0000E9"/>
        </w:rPr>
      </w:pPr>
      <w:proofErr w:type="spellStart"/>
      <w:r>
        <w:rPr>
          <w:rFonts w:ascii="Times" w:hAnsi="Times" w:cs="Times"/>
          <w:b/>
          <w:bCs/>
          <w:sz w:val="32"/>
          <w:szCs w:val="32"/>
          <w:u w:color="0000E9"/>
        </w:rPr>
        <w:t>StrumentiRes</w:t>
      </w:r>
      <w:proofErr w:type="spellEnd"/>
      <w:r>
        <w:rPr>
          <w:rFonts w:ascii="Times" w:hAnsi="Times" w:cs="Times"/>
          <w:b/>
          <w:bCs/>
          <w:sz w:val="32"/>
          <w:szCs w:val="32"/>
          <w:u w:color="0000E9"/>
        </w:rPr>
        <w:t xml:space="preserve"> - Rivista online della Fondazione RES Anno II - n° 2 - Febbraio 2010</w:t>
      </w:r>
    </w:p>
    <w:p w14:paraId="42F95602" w14:textId="77777777" w:rsidR="006F635B" w:rsidRDefault="006F635B"/>
    <w:sectPr w:rsidR="006F635B" w:rsidSect="00B752FA">
      <w:pgSz w:w="12240" w:h="15840"/>
      <w:pgMar w:top="1417" w:right="1134"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defaultTabStop w:val="708"/>
  <w:hyphenationZone w:val="283"/>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A4E"/>
    <w:rsid w:val="001B6206"/>
    <w:rsid w:val="003A0A4E"/>
    <w:rsid w:val="005A1B91"/>
    <w:rsid w:val="006F635B"/>
    <w:rsid w:val="00A845F2"/>
    <w:rsid w:val="00CB28F5"/>
  </w:rsids>
  <m:mathPr>
    <m:mathFont m:val="Cambria Math"/>
    <m:brkBin m:val="before"/>
    <m:brkBinSub m:val="--"/>
    <m:smallFrac/>
    <m:dispDef/>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F57DCE"/>
  <w15:docId w15:val="{83C750FE-0C26-493F-8530-DDBD58BCC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3A0A4E"/>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3A0A4E"/>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http://www.strumentires.com/index.php?option=com_content&amp;view=category&amp;id=4:economia-siciliana&amp;layout=blog&amp;Itemid=12"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2841</Words>
  <Characters>16199</Characters>
  <Application>Microsoft Office Word</Application>
  <DocSecurity>0</DocSecurity>
  <Lines>134</Lines>
  <Paragraphs>38</Paragraphs>
  <ScaleCrop>false</ScaleCrop>
  <Company/>
  <LinksUpToDate>false</LinksUpToDate>
  <CharactersWithSpaces>19002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simona piccolo</cp:lastModifiedBy>
  <cp:revision>2</cp:revision>
  <dcterms:created xsi:type="dcterms:W3CDTF">2020-10-26T08:11:00Z</dcterms:created>
  <dcterms:modified xsi:type="dcterms:W3CDTF">2020-10-26T08:11:00Z</dcterms:modified>
</cp:coreProperties>
</file>